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E6D3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Функциональная грамотность — это умение эффективно действовать в нестандартных жизненных ситуациях. Ее можно определить как «повседневную мудрость», способность решать задачи за пределами парты, грамотно строить свою жизнь и не теряться в ней. Функциональная грамотность сформирована через формат международного исследования PISA.</w:t>
      </w:r>
    </w:p>
    <w:p w14:paraId="18AD0898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PISA для школ – это разработанный Организацией экономического содружества и развития (ОЭСР) инструмент оценки качества образования.</w:t>
      </w:r>
    </w:p>
    <w:p w14:paraId="412F5DD3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В Российской Федерации данное исследование легло в основу «Оценки по модели PISA», которая проводится в соответствии с</w:t>
      </w:r>
    </w:p>
    <w:p w14:paraId="512F40BE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hyperlink r:id="rId4" w:tgtFrame="_blank" w:history="1">
        <w:r>
          <w:rPr>
            <w:rStyle w:val="a3"/>
            <w:sz w:val="23"/>
            <w:szCs w:val="23"/>
            <w:u w:val="none"/>
            <w:bdr w:val="none" w:sz="0" w:space="0" w:color="auto" w:frame="1"/>
          </w:rPr>
          <w:t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Проведение оценки по модели PISA ос</w:t>
        </w:r>
        <w:r>
          <w:rPr>
            <w:rStyle w:val="a3"/>
            <w:sz w:val="23"/>
            <w:szCs w:val="23"/>
            <w:u w:val="none"/>
            <w:bdr w:val="none" w:sz="0" w:space="0" w:color="auto" w:frame="1"/>
          </w:rPr>
          <w:t>н</w:t>
        </w:r>
        <w:r>
          <w:rPr>
            <w:rStyle w:val="a3"/>
            <w:sz w:val="23"/>
            <w:szCs w:val="23"/>
            <w:u w:val="none"/>
            <w:bdr w:val="none" w:sz="0" w:space="0" w:color="auto" w:frame="1"/>
          </w:rPr>
          <w:t xml:space="preserve">овано на технологиях и решениях проекта PISA </w:t>
        </w:r>
        <w:proofErr w:type="spellStart"/>
        <w:r>
          <w:rPr>
            <w:rStyle w:val="a3"/>
            <w:sz w:val="23"/>
            <w:szCs w:val="23"/>
            <w:u w:val="none"/>
            <w:bdr w:val="none" w:sz="0" w:space="0" w:color="auto" w:frame="1"/>
          </w:rPr>
          <w:t>for</w:t>
        </w:r>
        <w:proofErr w:type="spellEnd"/>
        <w:r>
          <w:rPr>
            <w:rStyle w:val="a3"/>
            <w:sz w:val="23"/>
            <w:szCs w:val="23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sz w:val="23"/>
            <w:szCs w:val="23"/>
            <w:u w:val="none"/>
            <w:bdr w:val="none" w:sz="0" w:space="0" w:color="auto" w:frame="1"/>
          </w:rPr>
          <w:t>Schools</w:t>
        </w:r>
        <w:proofErr w:type="spellEnd"/>
        <w:r>
          <w:rPr>
            <w:rStyle w:val="a3"/>
            <w:sz w:val="23"/>
            <w:szCs w:val="23"/>
            <w:u w:val="none"/>
            <w:bdr w:val="none" w:sz="0" w:space="0" w:color="auto" w:frame="1"/>
          </w:rPr>
          <w:t xml:space="preserve"> (PISA для школ)</w:t>
        </w:r>
      </w:hyperlink>
      <w:r>
        <w:rPr>
          <w:color w:val="000000"/>
          <w:sz w:val="23"/>
          <w:szCs w:val="23"/>
          <w:bdr w:val="none" w:sz="0" w:space="0" w:color="auto" w:frame="1"/>
        </w:rPr>
        <w:t>:</w:t>
      </w:r>
    </w:p>
    <w:p w14:paraId="1CD391BE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 исследовании принимают участие обучающиеся, чей возраст на момент тестирования составляет от 15 лет и 3 месяцев до 16 лет и 2 месяцев (с 7-го класса);</w:t>
      </w:r>
    </w:p>
    <w:p w14:paraId="7B8ADBE5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инструментарий исследования PISA для школ включает в себя тест и анкету для об</w:t>
      </w:r>
      <w:bookmarkStart w:id="0" w:name="_GoBack"/>
      <w:bookmarkEnd w:id="0"/>
      <w:r>
        <w:rPr>
          <w:color w:val="000000"/>
          <w:sz w:val="23"/>
          <w:szCs w:val="23"/>
          <w:bdr w:val="none" w:sz="0" w:space="0" w:color="auto" w:frame="1"/>
        </w:rPr>
        <w:t>учающихся, а также онлайн-анкету для администрации школы;</w:t>
      </w:r>
    </w:p>
    <w:p w14:paraId="1922D109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участники исследования выполняют задания на компьютере;</w:t>
      </w:r>
    </w:p>
    <w:p w14:paraId="67BA0F06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все задания построены на концептуальных рамках исследования PISA;</w:t>
      </w:r>
    </w:p>
    <w:p w14:paraId="67DF4154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- исследование PISA для школ дает возможность получения результатов в привязке к единой шкале исследования PISA.</w:t>
      </w:r>
    </w:p>
    <w:p w14:paraId="7ADA1FC9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Составляющие функциональной грамотности</w:t>
      </w:r>
    </w:p>
    <w:p w14:paraId="1D024DEB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1.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 Читательская грамотность. </w:t>
      </w:r>
      <w:r>
        <w:rPr>
          <w:color w:val="000000"/>
          <w:sz w:val="23"/>
          <w:szCs w:val="23"/>
          <w:bdr w:val="none" w:sz="0" w:space="0" w:color="auto" w:frame="1"/>
        </w:rPr>
        <w:t>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 </w:t>
      </w:r>
    </w:p>
    <w:p w14:paraId="7C73F96C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2. 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Естественно-научная грамотность.</w:t>
      </w:r>
      <w:r>
        <w:rPr>
          <w:color w:val="000000"/>
          <w:sz w:val="23"/>
          <w:szCs w:val="23"/>
          <w:bdr w:val="none" w:sz="0" w:space="0" w:color="auto" w:frame="1"/>
        </w:rPr>
        <w:t> Способность человека занимать активную гражданскую позицию по вопросам, связанным с естественно-научными идеями.</w:t>
      </w:r>
    </w:p>
    <w:p w14:paraId="0834A843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3. 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Математическая грамотность</w:t>
      </w:r>
      <w:r>
        <w:rPr>
          <w:color w:val="000000"/>
          <w:sz w:val="23"/>
          <w:szCs w:val="23"/>
          <w:bdr w:val="none" w:sz="0" w:space="0" w:color="auto" w:frame="1"/>
        </w:rPr>
        <w:t>.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14:paraId="6727C7E9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4. 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Финансовая грамотность.</w:t>
      </w:r>
      <w:r>
        <w:rPr>
          <w:color w:val="000000"/>
          <w:sz w:val="23"/>
          <w:szCs w:val="23"/>
          <w:bdr w:val="none" w:sz="0" w:space="0" w:color="auto" w:frame="1"/>
        </w:rPr>
        <w:t> 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14:paraId="7C2D30F9" w14:textId="7C52B2FD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5. 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Креативное мышление</w:t>
      </w:r>
      <w:r>
        <w:rPr>
          <w:color w:val="000000"/>
          <w:sz w:val="23"/>
          <w:szCs w:val="23"/>
          <w:bdr w:val="none" w:sz="0" w:space="0" w:color="auto" w:frame="1"/>
        </w:rPr>
        <w:t>. Способность продуктивно участвовать в процессе выработки, оценки и 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14:paraId="6CBCBFE8" w14:textId="77777777" w:rsidR="00DA755F" w:rsidRDefault="00DA755F" w:rsidP="00DA755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6. 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Глобальные компетенции. </w:t>
      </w:r>
      <w:r>
        <w:rPr>
          <w:color w:val="000000"/>
          <w:sz w:val="23"/>
          <w:szCs w:val="23"/>
          <w:bdr w:val="none" w:sz="0" w:space="0" w:color="auto" w:frame="1"/>
        </w:rPr>
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</w:r>
    </w:p>
    <w:p w14:paraId="5B10F85E" w14:textId="77777777" w:rsidR="001403EE" w:rsidRPr="00DA755F" w:rsidRDefault="001403EE">
      <w:pPr>
        <w:rPr>
          <w:rFonts w:ascii="Times New Roman" w:hAnsi="Times New Roman" w:cs="Times New Roman"/>
          <w:sz w:val="24"/>
          <w:szCs w:val="24"/>
        </w:rPr>
      </w:pPr>
    </w:p>
    <w:sectPr w:rsidR="001403EE" w:rsidRPr="00DA755F" w:rsidSect="00DA755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EE"/>
    <w:rsid w:val="001403EE"/>
    <w:rsid w:val="00D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141F-6005-4BF3-AA06-61EAA17F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A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5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7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met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2022-03-16T11:35:00Z</dcterms:created>
  <dcterms:modified xsi:type="dcterms:W3CDTF">2022-03-16T11:39:00Z</dcterms:modified>
</cp:coreProperties>
</file>